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60" w:lineRule="exact"/>
        <w:jc w:val="center"/>
        <w:rPr>
          <w:rFonts w:hint="eastAsia" w:ascii="方正小标宋简体" w:hAnsi="仿宋" w:eastAsia="方正小标宋简体"/>
          <w:sz w:val="44"/>
          <w:szCs w:val="44"/>
        </w:rPr>
      </w:pPr>
    </w:p>
    <w:p>
      <w:pPr>
        <w:widowControl/>
        <w:shd w:val="clear" w:color="auto" w:fill="FFFFFF"/>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大连市科技创业天使投资子基金管理实施细则</w:t>
      </w:r>
    </w:p>
    <w:p>
      <w:pPr>
        <w:widowControl/>
        <w:shd w:val="clear" w:color="auto" w:fill="FFFFFF"/>
        <w:spacing w:line="560" w:lineRule="exact"/>
        <w:ind w:firstLine="643" w:firstLineChars="200"/>
        <w:rPr>
          <w:rFonts w:ascii="仿宋_GB2312" w:hAnsi="ˎ̥" w:eastAsia="仿宋_GB2312" w:cs="宋体"/>
          <w:b/>
          <w:bCs/>
          <w:kern w:val="0"/>
          <w:sz w:val="32"/>
          <w:szCs w:val="32"/>
        </w:rPr>
      </w:pPr>
      <w:bookmarkStart w:id="0" w:name="_GoBack"/>
      <w:bookmarkEnd w:id="0"/>
    </w:p>
    <w:p>
      <w:pPr>
        <w:widowControl/>
        <w:shd w:val="clear" w:color="auto" w:fill="FFFFFF"/>
        <w:spacing w:line="560" w:lineRule="exact"/>
        <w:ind w:firstLine="643" w:firstLineChars="200"/>
        <w:rPr>
          <w:rFonts w:ascii="仿宋_GB2312" w:hAnsi="ˎ̥" w:eastAsia="仿宋_GB2312" w:cs="宋体"/>
          <w:color w:val="auto"/>
          <w:kern w:val="0"/>
          <w:sz w:val="32"/>
          <w:szCs w:val="32"/>
        </w:rPr>
      </w:pPr>
      <w:r>
        <w:rPr>
          <w:rFonts w:hint="eastAsia" w:ascii="仿宋_GB2312" w:hAnsi="ˎ̥" w:eastAsia="仿宋_GB2312" w:cs="宋体"/>
          <w:b/>
          <w:bCs/>
          <w:color w:val="auto"/>
          <w:kern w:val="0"/>
          <w:sz w:val="32"/>
          <w:szCs w:val="32"/>
        </w:rPr>
        <w:t>第一条</w:t>
      </w:r>
      <w:r>
        <w:rPr>
          <w:rFonts w:hint="eastAsia" w:ascii="仿宋_GB2312" w:hAnsi="ˎ̥" w:eastAsia="仿宋_GB2312" w:cs="宋体"/>
          <w:color w:val="auto"/>
          <w:kern w:val="0"/>
          <w:sz w:val="32"/>
          <w:szCs w:val="32"/>
        </w:rPr>
        <w:t xml:space="preserve"> 为进一步优化我市创新创业环境，大力培育初创期创新型企业，依据</w:t>
      </w:r>
      <w:r>
        <w:rPr>
          <w:rFonts w:hint="eastAsia" w:ascii="仿宋_GB2312" w:hAnsi="微软雅黑" w:eastAsia="仿宋_GB2312" w:cs="宋体"/>
          <w:color w:val="auto"/>
          <w:kern w:val="0"/>
          <w:sz w:val="32"/>
          <w:szCs w:val="32"/>
        </w:rPr>
        <w:t>《大连市产业（创业）投资引导基金管理办法》</w:t>
      </w:r>
      <w:r>
        <w:rPr>
          <w:rFonts w:hint="eastAsia" w:ascii="仿宋_GB2312" w:hAnsi="ˎ̥" w:eastAsia="仿宋_GB2312" w:cs="宋体"/>
          <w:color w:val="auto"/>
          <w:kern w:val="0"/>
          <w:sz w:val="32"/>
          <w:szCs w:val="32"/>
        </w:rPr>
        <w:t>（大政办发〔2020〕54号）（以下简称《引导基金办法》）和《大连市产业（创业）投资引导基金管理指引》以及相关法律法规，在</w:t>
      </w:r>
      <w:r>
        <w:rPr>
          <w:rFonts w:hint="eastAsia" w:ascii="仿宋_GB2312" w:hAnsi="微软雅黑" w:eastAsia="仿宋_GB2312" w:cs="宋体"/>
          <w:color w:val="auto"/>
          <w:kern w:val="0"/>
          <w:sz w:val="32"/>
          <w:szCs w:val="32"/>
        </w:rPr>
        <w:t>大连市产业（创业）投资引导基金</w:t>
      </w:r>
      <w:r>
        <w:rPr>
          <w:rFonts w:hint="eastAsia" w:ascii="仿宋_GB2312" w:hAnsi="微软雅黑" w:eastAsia="仿宋_GB2312" w:cs="宋体"/>
          <w:b w:val="0"/>
          <w:bCs w:val="0"/>
          <w:color w:val="auto"/>
          <w:kern w:val="0"/>
          <w:sz w:val="32"/>
          <w:szCs w:val="32"/>
        </w:rPr>
        <w:t>（</w:t>
      </w:r>
      <w:r>
        <w:rPr>
          <w:rFonts w:hint="eastAsia" w:ascii="仿宋_GB2312" w:hAnsi="ˎ̥" w:eastAsia="仿宋_GB2312" w:cs="宋体"/>
          <w:b w:val="0"/>
          <w:bCs w:val="0"/>
          <w:color w:val="auto"/>
          <w:kern w:val="0"/>
          <w:sz w:val="32"/>
          <w:szCs w:val="32"/>
        </w:rPr>
        <w:t>以下简称引导基金</w:t>
      </w:r>
      <w:r>
        <w:rPr>
          <w:rFonts w:hint="eastAsia" w:ascii="仿宋_GB2312" w:hAnsi="微软雅黑" w:eastAsia="仿宋_GB2312" w:cs="宋体"/>
          <w:b w:val="0"/>
          <w:bCs w:val="0"/>
          <w:color w:val="auto"/>
          <w:kern w:val="0"/>
          <w:sz w:val="32"/>
          <w:szCs w:val="32"/>
        </w:rPr>
        <w:t>）</w:t>
      </w:r>
      <w:r>
        <w:rPr>
          <w:rFonts w:hint="eastAsia" w:ascii="仿宋_GB2312" w:hAnsi="微软雅黑" w:eastAsia="仿宋_GB2312" w:cs="宋体"/>
          <w:color w:val="auto"/>
          <w:kern w:val="0"/>
          <w:sz w:val="32"/>
          <w:szCs w:val="32"/>
        </w:rPr>
        <w:t>框架下增设科技创业天使投资子基金（以下简称天使投资子基金）</w:t>
      </w:r>
      <w:r>
        <w:rPr>
          <w:rFonts w:hint="eastAsia" w:ascii="仿宋_GB2312" w:hAnsi="ˎ̥" w:eastAsia="仿宋_GB2312" w:cs="宋体"/>
          <w:color w:val="auto"/>
          <w:kern w:val="0"/>
          <w:sz w:val="32"/>
          <w:szCs w:val="32"/>
        </w:rPr>
        <w:t>。</w:t>
      </w:r>
    </w:p>
    <w:p>
      <w:pPr>
        <w:widowControl/>
        <w:shd w:val="clear" w:color="auto" w:fill="FFFFFF"/>
        <w:spacing w:line="560" w:lineRule="exact"/>
        <w:ind w:firstLine="643" w:firstLineChars="200"/>
        <w:rPr>
          <w:rFonts w:ascii="仿宋_GB2312" w:eastAsia="仿宋_GB2312"/>
          <w:color w:val="auto"/>
          <w:sz w:val="32"/>
          <w:szCs w:val="32"/>
        </w:rPr>
      </w:pPr>
      <w:r>
        <w:rPr>
          <w:rFonts w:hint="eastAsia" w:ascii="仿宋_GB2312" w:hAnsi="ˎ̥" w:eastAsia="仿宋_GB2312" w:cs="宋体"/>
          <w:b/>
          <w:bCs/>
          <w:color w:val="auto"/>
          <w:kern w:val="0"/>
          <w:sz w:val="32"/>
          <w:szCs w:val="32"/>
        </w:rPr>
        <w:t>第二条</w:t>
      </w:r>
      <w:r>
        <w:rPr>
          <w:rFonts w:hint="eastAsia" w:ascii="黑体" w:hAnsi="黑体" w:eastAsia="黑体"/>
          <w:color w:val="auto"/>
          <w:sz w:val="32"/>
          <w:szCs w:val="32"/>
        </w:rPr>
        <w:t xml:space="preserve"> </w:t>
      </w:r>
      <w:r>
        <w:rPr>
          <w:rFonts w:hint="eastAsia" w:ascii="仿宋_GB2312" w:hAnsi="微软雅黑" w:eastAsia="仿宋_GB2312" w:cs="宋体"/>
          <w:color w:val="auto"/>
          <w:kern w:val="0"/>
          <w:sz w:val="32"/>
          <w:szCs w:val="32"/>
        </w:rPr>
        <w:t>天使投资子基金投资于</w:t>
      </w:r>
      <w:r>
        <w:rPr>
          <w:rFonts w:hint="eastAsia" w:ascii="仿宋_GB2312" w:eastAsia="仿宋_GB2312"/>
          <w:color w:val="auto"/>
          <w:sz w:val="32"/>
          <w:szCs w:val="32"/>
        </w:rPr>
        <w:t>天使类项目的资金不低于子资金实缴出资资金总规模的80%。</w:t>
      </w:r>
      <w:r>
        <w:rPr>
          <w:rFonts w:hint="eastAsia" w:ascii="仿宋_GB2312" w:eastAsia="仿宋_GB2312"/>
          <w:b w:val="0"/>
          <w:bCs w:val="0"/>
          <w:color w:val="auto"/>
          <w:sz w:val="32"/>
          <w:szCs w:val="32"/>
        </w:rPr>
        <w:t>被投资企业</w:t>
      </w:r>
      <w:r>
        <w:rPr>
          <w:rFonts w:hint="eastAsia" w:ascii="仿宋_GB2312" w:eastAsia="仿宋_GB2312"/>
          <w:color w:val="auto"/>
          <w:sz w:val="32"/>
          <w:szCs w:val="32"/>
        </w:rPr>
        <w:t>原则上须满足以下条件：</w:t>
      </w:r>
    </w:p>
    <w:p>
      <w:pPr>
        <w:widowControl/>
        <w:shd w:val="clear" w:color="auto" w:fill="FFFFFF"/>
        <w:spacing w:line="560" w:lineRule="exact"/>
        <w:ind w:firstLine="640" w:firstLineChars="200"/>
        <w:rPr>
          <w:rFonts w:ascii="仿宋_GB2312" w:hAnsi="微软雅黑" w:eastAsia="仿宋_GB2312" w:cs="宋体"/>
          <w:color w:val="auto"/>
          <w:kern w:val="0"/>
          <w:sz w:val="32"/>
          <w:szCs w:val="32"/>
        </w:rPr>
      </w:pPr>
      <w:r>
        <w:rPr>
          <w:rFonts w:hint="eastAsia" w:ascii="仿宋_GB2312" w:eastAsia="仿宋_GB2312"/>
          <w:color w:val="auto"/>
          <w:sz w:val="32"/>
          <w:szCs w:val="32"/>
        </w:rPr>
        <w:t>1.</w:t>
      </w:r>
      <w:r>
        <w:rPr>
          <w:rFonts w:hint="eastAsia" w:ascii="仿宋_GB2312" w:hAnsi="仿宋_GB2312" w:eastAsia="仿宋_GB2312" w:cs="仿宋_GB2312"/>
          <w:color w:val="auto"/>
          <w:sz w:val="32"/>
          <w:szCs w:val="32"/>
        </w:rPr>
        <w:t>成立时间不超过5年，职工人数不超过300人，直接从事研究开发的科技人员占职工总数的20%以上，资产总额不超过3000万元人民币，年销售额或营业额不超过3000万元人民币。</w:t>
      </w:r>
    </w:p>
    <w:p>
      <w:pPr>
        <w:snapToGrid w:val="0"/>
        <w:spacing w:line="560" w:lineRule="exact"/>
        <w:ind w:firstLine="640" w:firstLineChars="200"/>
        <w:rPr>
          <w:rFonts w:ascii="仿宋_GB2312" w:hAnsi="仿宋" w:eastAsia="仿宋_GB2312"/>
          <w:color w:val="auto"/>
          <w:sz w:val="32"/>
          <w:szCs w:val="32"/>
        </w:rPr>
      </w:pPr>
      <w:r>
        <w:rPr>
          <w:rFonts w:hint="eastAsia" w:ascii="仿宋_GB2312" w:eastAsia="仿宋_GB2312"/>
          <w:color w:val="auto"/>
          <w:sz w:val="32"/>
          <w:szCs w:val="32"/>
        </w:rPr>
        <w:t>2.</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的投资须为被投资企业的首两轮外部机构投资</w:t>
      </w:r>
      <w:r>
        <w:rPr>
          <w:rFonts w:hint="eastAsia" w:ascii="仿宋_GB2312" w:hAnsi="仿宋" w:eastAsia="仿宋_GB2312"/>
          <w:color w:val="auto"/>
          <w:sz w:val="32"/>
          <w:szCs w:val="32"/>
        </w:rPr>
        <w:t>。</w:t>
      </w:r>
    </w:p>
    <w:p>
      <w:pPr>
        <w:widowControl/>
        <w:shd w:val="clear" w:color="auto" w:fill="FFFFFF"/>
        <w:spacing w:line="560" w:lineRule="exact"/>
        <w:ind w:firstLine="643" w:firstLineChars="200"/>
        <w:rPr>
          <w:rFonts w:ascii="仿宋_GB2312" w:hAnsi="ˎ̥" w:eastAsia="仿宋_GB2312" w:cs="宋体"/>
          <w:color w:val="auto"/>
          <w:kern w:val="0"/>
          <w:sz w:val="32"/>
          <w:szCs w:val="32"/>
        </w:rPr>
      </w:pPr>
      <w:r>
        <w:rPr>
          <w:rFonts w:hint="eastAsia" w:ascii="仿宋_GB2312" w:hAnsi="ˎ̥" w:eastAsia="仿宋_GB2312" w:cs="宋体"/>
          <w:b/>
          <w:bCs/>
          <w:color w:val="auto"/>
          <w:kern w:val="0"/>
          <w:sz w:val="32"/>
          <w:szCs w:val="32"/>
        </w:rPr>
        <w:t>第三条</w:t>
      </w:r>
      <w:r>
        <w:rPr>
          <w:rFonts w:hint="eastAsia" w:ascii="仿宋_GB2312" w:hAnsi="ˎ̥" w:eastAsia="仿宋_GB2312" w:cs="宋体"/>
          <w:color w:val="auto"/>
          <w:kern w:val="0"/>
          <w:sz w:val="32"/>
          <w:szCs w:val="32"/>
        </w:rPr>
        <w:t xml:space="preserve"> </w:t>
      </w:r>
      <w:r>
        <w:rPr>
          <w:rFonts w:hint="eastAsia" w:ascii="仿宋_GB2312" w:hAnsi="微软雅黑" w:eastAsia="仿宋_GB2312" w:cs="宋体"/>
          <w:color w:val="auto"/>
          <w:kern w:val="0"/>
          <w:sz w:val="32"/>
          <w:szCs w:val="32"/>
        </w:rPr>
        <w:t>天使投资子基金</w:t>
      </w:r>
      <w:r>
        <w:rPr>
          <w:rFonts w:hint="eastAsia" w:ascii="仿宋_GB2312" w:hAnsi="ˎ̥" w:eastAsia="仿宋_GB2312" w:cs="宋体"/>
          <w:color w:val="auto"/>
          <w:kern w:val="0"/>
          <w:sz w:val="32"/>
          <w:szCs w:val="32"/>
        </w:rPr>
        <w:t>管</w:t>
      </w:r>
      <w:r>
        <w:rPr>
          <w:rFonts w:hint="eastAsia" w:ascii="仿宋_GB2312" w:hAnsi="微软雅黑" w:eastAsia="仿宋_GB2312" w:cs="宋体"/>
          <w:color w:val="auto"/>
          <w:kern w:val="0"/>
          <w:sz w:val="32"/>
          <w:szCs w:val="32"/>
        </w:rPr>
        <w:t>理机构除具备</w:t>
      </w:r>
      <w:r>
        <w:rPr>
          <w:rFonts w:hint="eastAsia" w:ascii="仿宋_GB2312" w:hAnsi="ˎ̥" w:eastAsia="仿宋_GB2312" w:cs="宋体"/>
          <w:color w:val="auto"/>
          <w:kern w:val="0"/>
          <w:sz w:val="32"/>
          <w:szCs w:val="32"/>
        </w:rPr>
        <w:t>《引导基金办法》第十四条规定的条件外，还应具备以下条件：</w:t>
      </w:r>
    </w:p>
    <w:p>
      <w:pPr>
        <w:widowControl/>
        <w:shd w:val="clear" w:color="auto" w:fill="FFFFFF"/>
        <w:spacing w:line="560" w:lineRule="exact"/>
        <w:ind w:firstLine="640" w:firstLineChars="200"/>
        <w:rPr>
          <w:rFonts w:ascii="仿宋_GB2312" w:hAnsi="仿宋" w:eastAsia="仿宋_GB2312"/>
          <w:color w:val="auto"/>
          <w:sz w:val="32"/>
          <w:szCs w:val="32"/>
        </w:rPr>
      </w:pPr>
      <w:r>
        <w:rPr>
          <w:rFonts w:hint="eastAsia" w:ascii="仿宋_GB2312" w:hAnsi="ˎ̥" w:eastAsia="仿宋_GB2312" w:cs="宋体"/>
          <w:color w:val="auto"/>
          <w:kern w:val="0"/>
          <w:sz w:val="32"/>
          <w:szCs w:val="32"/>
        </w:rPr>
        <w:t>（一）</w:t>
      </w:r>
      <w:r>
        <w:rPr>
          <w:rFonts w:hint="eastAsia" w:ascii="仿宋_GB2312" w:hAnsi="仿宋" w:eastAsia="仿宋_GB2312"/>
          <w:color w:val="auto"/>
          <w:sz w:val="32"/>
          <w:szCs w:val="32"/>
        </w:rPr>
        <w:t>原则上须在大连注册，经引导基金理事会批准的除外。</w:t>
      </w:r>
    </w:p>
    <w:p>
      <w:pPr>
        <w:widowControl/>
        <w:shd w:val="clear" w:color="auto" w:fill="FFFFFF"/>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须在大连设置固定的办公场所并配备专属且稳定的管理团队，至少有3名具备3年以上早期项目投资经验或相关行业经验的高级管理人员，至少1名核心人员常驻大连办公或在大连缴纳社保；管理团队主要成员未有受过行政主管机关或司法机关处罚的不良记录。</w:t>
      </w:r>
    </w:p>
    <w:p>
      <w:pPr>
        <w:overflowPunct w:val="0"/>
        <w:adjustRightInd w:val="0"/>
        <w:snapToGrid w:val="0"/>
        <w:spacing w:line="56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第四条</w:t>
      </w:r>
      <w:r>
        <w:rPr>
          <w:rFonts w:hint="eastAsia" w:ascii="仿宋_GB2312" w:hAnsi="仿宋" w:eastAsia="仿宋_GB2312"/>
          <w:color w:val="auto"/>
          <w:sz w:val="32"/>
          <w:szCs w:val="32"/>
        </w:rPr>
        <w:t xml:space="preserve"> </w:t>
      </w:r>
      <w:r>
        <w:rPr>
          <w:rFonts w:hint="eastAsia" w:ascii="仿宋_GB2312" w:hAnsi="微软雅黑" w:eastAsia="仿宋_GB2312" w:cs="宋体"/>
          <w:color w:val="auto"/>
          <w:kern w:val="0"/>
          <w:sz w:val="32"/>
          <w:szCs w:val="32"/>
        </w:rPr>
        <w:t>天使投资子基金除符合</w:t>
      </w:r>
      <w:r>
        <w:rPr>
          <w:rFonts w:hint="eastAsia" w:ascii="仿宋_GB2312" w:hAnsi="ˎ̥" w:eastAsia="仿宋_GB2312" w:cs="宋体"/>
          <w:color w:val="auto"/>
          <w:kern w:val="0"/>
          <w:sz w:val="32"/>
          <w:szCs w:val="32"/>
        </w:rPr>
        <w:t>《引导基金办法》第十五条第（一）、（二）、（五）款规定的条件外，还应符合以下条件：</w:t>
      </w:r>
    </w:p>
    <w:p>
      <w:pPr>
        <w:snapToGrid w:val="0"/>
        <w:spacing w:line="560" w:lineRule="exact"/>
        <w:ind w:firstLine="640" w:firstLineChars="200"/>
        <w:jc w:val="left"/>
        <w:rPr>
          <w:rFonts w:ascii="仿宋_GB2312" w:eastAsia="仿宋_GB2312"/>
          <w:color w:val="auto"/>
          <w:sz w:val="32"/>
        </w:rPr>
      </w:pPr>
      <w:r>
        <w:rPr>
          <w:rFonts w:hint="eastAsia" w:ascii="仿宋_GB2312" w:hAnsi="仿宋" w:eastAsia="仿宋_GB2312"/>
          <w:color w:val="auto"/>
          <w:sz w:val="32"/>
          <w:szCs w:val="32"/>
        </w:rPr>
        <w:t>（一）</w:t>
      </w:r>
      <w:r>
        <w:rPr>
          <w:rFonts w:hint="eastAsia" w:ascii="仿宋_GB2312" w:eastAsia="仿宋_GB2312"/>
          <w:color w:val="auto"/>
          <w:sz w:val="32"/>
        </w:rPr>
        <w:t>注册在大连市。</w:t>
      </w:r>
    </w:p>
    <w:p>
      <w:pPr>
        <w:snapToGrid w:val="0"/>
        <w:spacing w:line="560" w:lineRule="exact"/>
        <w:ind w:firstLine="640" w:firstLineChars="200"/>
        <w:rPr>
          <w:rFonts w:ascii="仿宋_GB2312" w:eastAsia="仿宋_GB2312"/>
          <w:color w:val="auto"/>
          <w:sz w:val="32"/>
          <w:szCs w:val="32"/>
        </w:rPr>
      </w:pPr>
      <w:r>
        <w:rPr>
          <w:rFonts w:hint="eastAsia" w:ascii="仿宋_GB2312" w:hAnsi="仿宋" w:eastAsia="仿宋_GB2312"/>
          <w:color w:val="auto"/>
          <w:sz w:val="32"/>
          <w:szCs w:val="32"/>
        </w:rPr>
        <w:t>（二）</w:t>
      </w:r>
      <w:r>
        <w:rPr>
          <w:rFonts w:hint="eastAsia" w:ascii="仿宋_GB2312" w:eastAsia="仿宋_GB2312"/>
          <w:color w:val="auto"/>
          <w:sz w:val="32"/>
          <w:szCs w:val="32"/>
        </w:rPr>
        <w:t>引导基金有权在其他出资人的出资款实际到位后再行出资。</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（三）投资期内每年累计投资大连地区资金规模占</w:t>
      </w:r>
      <w:r>
        <w:rPr>
          <w:rFonts w:hint="eastAsia" w:ascii="仿宋_GB2312" w:hAnsi="微软雅黑" w:eastAsia="仿宋_GB2312" w:cs="宋体"/>
          <w:color w:val="auto"/>
          <w:kern w:val="0"/>
          <w:sz w:val="32"/>
          <w:szCs w:val="32"/>
        </w:rPr>
        <w:t>天使投资子基金</w:t>
      </w:r>
      <w:r>
        <w:rPr>
          <w:rFonts w:hint="eastAsia" w:ascii="仿宋_GB2312" w:hAnsi="仿宋" w:eastAsia="仿宋_GB2312"/>
          <w:color w:val="auto"/>
          <w:sz w:val="32"/>
          <w:szCs w:val="32"/>
        </w:rPr>
        <w:t>累计投资资金规模的比例，不低于引导基金在</w:t>
      </w:r>
      <w:r>
        <w:rPr>
          <w:rFonts w:hint="eastAsia" w:ascii="仿宋_GB2312" w:hAnsi="微软雅黑" w:eastAsia="仿宋_GB2312" w:cs="宋体"/>
          <w:color w:val="auto"/>
          <w:kern w:val="0"/>
          <w:sz w:val="32"/>
          <w:szCs w:val="32"/>
        </w:rPr>
        <w:t>天使投资子基金</w:t>
      </w:r>
      <w:r>
        <w:rPr>
          <w:rFonts w:hint="eastAsia" w:ascii="仿宋_GB2312" w:hAnsi="仿宋" w:eastAsia="仿宋_GB2312"/>
          <w:color w:val="auto"/>
          <w:sz w:val="32"/>
          <w:szCs w:val="32"/>
        </w:rPr>
        <w:t>的实缴出资比例；投资期结束时，累计投资大连地区资金不低于引导基金实缴出资额的</w:t>
      </w:r>
      <w:r>
        <w:rPr>
          <w:rFonts w:ascii="仿宋_GB2312" w:hAnsi="仿宋" w:eastAsia="仿宋_GB2312"/>
          <w:color w:val="auto"/>
          <w:sz w:val="32"/>
          <w:szCs w:val="32"/>
        </w:rPr>
        <w:t>1.</w:t>
      </w:r>
      <w:r>
        <w:rPr>
          <w:rFonts w:hint="eastAsia" w:ascii="仿宋_GB2312" w:hAnsi="仿宋" w:eastAsia="仿宋_GB2312"/>
          <w:color w:val="auto"/>
          <w:sz w:val="32"/>
          <w:szCs w:val="32"/>
        </w:rPr>
        <w:t>5</w:t>
      </w:r>
      <w:r>
        <w:rPr>
          <w:rFonts w:ascii="仿宋_GB2312" w:hAnsi="仿宋" w:eastAsia="仿宋_GB2312"/>
          <w:color w:val="auto"/>
          <w:sz w:val="32"/>
          <w:szCs w:val="32"/>
        </w:rPr>
        <w:t>倍</w:t>
      </w:r>
      <w:r>
        <w:rPr>
          <w:rFonts w:hint="eastAsia" w:ascii="仿宋_GB2312" w:hAnsi="仿宋" w:eastAsia="仿宋_GB2312"/>
          <w:color w:val="auto"/>
          <w:sz w:val="32"/>
          <w:szCs w:val="32"/>
        </w:rPr>
        <w:t>（含）。以下情形均可认定为投资我市行政区域内企业的资金：</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1.直接投资注册地为大连市的企业；</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2.为大连市引进落地法人企业并有实质性经营活动的；</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3.投资的大连市外企业以股权投资方式投资大连市已有企业的；</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4.投资的大连市外企业在大连市投资设立新企业的；</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5.</w:t>
      </w:r>
      <w:r>
        <w:rPr>
          <w:rFonts w:hint="eastAsia" w:ascii="仿宋_GB2312" w:hAnsi="微软雅黑" w:eastAsia="仿宋_GB2312" w:cs="宋体"/>
          <w:color w:val="auto"/>
          <w:kern w:val="0"/>
          <w:sz w:val="32"/>
          <w:szCs w:val="32"/>
        </w:rPr>
        <w:t>天使投资子基金</w:t>
      </w:r>
      <w:r>
        <w:rPr>
          <w:rFonts w:hint="eastAsia" w:ascii="仿宋_GB2312" w:hAnsi="仿宋" w:eastAsia="仿宋_GB2312"/>
          <w:color w:val="auto"/>
          <w:sz w:val="32"/>
          <w:szCs w:val="32"/>
        </w:rPr>
        <w:t>管理人在管的其他基金新增投资大连市内企业；</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rPr>
        <w:t>（四）</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合伙协议须对投委会委员和管理团队的核心人员进行锁定，被锁定人员如发生人员变动须经相关权利机构表决通过。在</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完成70%的投资进度之前，被锁定人员不得作为其他</w:t>
      </w:r>
      <w:r>
        <w:rPr>
          <w:rFonts w:hint="eastAsia" w:ascii="仿宋_GB2312" w:hAnsi="微软雅黑" w:eastAsia="仿宋_GB2312" w:cs="宋体"/>
          <w:color w:val="auto"/>
          <w:kern w:val="0"/>
          <w:sz w:val="32"/>
          <w:szCs w:val="32"/>
        </w:rPr>
        <w:t>天使投资基金</w:t>
      </w:r>
      <w:r>
        <w:rPr>
          <w:rFonts w:hint="eastAsia" w:ascii="仿宋_GB2312" w:eastAsia="仿宋_GB2312"/>
          <w:color w:val="auto"/>
          <w:sz w:val="32"/>
          <w:szCs w:val="32"/>
        </w:rPr>
        <w:t>的关键人参与投资相同领域及地域，管理机构不得募集、管理相同投资领域及地域的其他</w:t>
      </w:r>
      <w:r>
        <w:rPr>
          <w:rFonts w:hint="eastAsia" w:ascii="仿宋_GB2312" w:hAnsi="微软雅黑" w:eastAsia="仿宋_GB2312" w:cs="宋体"/>
          <w:color w:val="auto"/>
          <w:kern w:val="0"/>
          <w:sz w:val="32"/>
          <w:szCs w:val="32"/>
        </w:rPr>
        <w:t>天使投资基金</w:t>
      </w:r>
      <w:r>
        <w:rPr>
          <w:rFonts w:hint="eastAsia" w:ascii="仿宋_GB2312" w:eastAsia="仿宋_GB2312"/>
          <w:color w:val="auto"/>
          <w:sz w:val="32"/>
          <w:szCs w:val="32"/>
        </w:rPr>
        <w:t>。</w:t>
      </w:r>
    </w:p>
    <w:p>
      <w:pPr>
        <w:spacing w:line="560" w:lineRule="exact"/>
        <w:ind w:firstLine="630" w:firstLineChars="196"/>
        <w:rPr>
          <w:rFonts w:ascii="仿宋_GB2312" w:eastAsia="仿宋_GB2312"/>
          <w:color w:val="auto"/>
          <w:sz w:val="32"/>
          <w:szCs w:val="32"/>
        </w:rPr>
      </w:pPr>
      <w:r>
        <w:rPr>
          <w:rFonts w:hint="eastAsia" w:ascii="仿宋_GB2312" w:hAnsi="仿宋" w:eastAsia="仿宋_GB2312"/>
          <w:b/>
          <w:bCs/>
          <w:color w:val="auto"/>
          <w:sz w:val="32"/>
          <w:szCs w:val="32"/>
        </w:rPr>
        <w:t>第五条</w:t>
      </w:r>
      <w:r>
        <w:rPr>
          <w:rFonts w:hint="eastAsia" w:ascii="仿宋_GB2312" w:hAnsi="仿宋" w:eastAsia="仿宋_GB2312"/>
          <w:color w:val="auto"/>
          <w:sz w:val="32"/>
          <w:szCs w:val="32"/>
        </w:rPr>
        <w:t xml:space="preserve"> </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rPr>
        <w:t>投资项目退出后，</w:t>
      </w:r>
      <w:r>
        <w:rPr>
          <w:rFonts w:hint="eastAsia" w:ascii="仿宋_GB2312" w:hAnsi="微软雅黑" w:eastAsia="仿宋_GB2312" w:cs="宋体"/>
          <w:color w:val="auto"/>
          <w:kern w:val="0"/>
          <w:sz w:val="32"/>
          <w:szCs w:val="32"/>
        </w:rPr>
        <w:t>天使投资子基金中</w:t>
      </w:r>
      <w:r>
        <w:rPr>
          <w:rFonts w:hint="eastAsia" w:ascii="仿宋_GB2312" w:eastAsia="仿宋_GB2312"/>
          <w:color w:val="auto"/>
          <w:sz w:val="32"/>
        </w:rPr>
        <w:t>投资回收资金不得再用于对外投资，须及时按合伙协议约定向投资人进行分配。</w:t>
      </w:r>
    </w:p>
    <w:p>
      <w:pPr>
        <w:spacing w:line="560" w:lineRule="exact"/>
        <w:ind w:firstLine="643" w:firstLineChars="200"/>
        <w:rPr>
          <w:rFonts w:ascii="仿宋_GB2312" w:hAnsi="仿宋" w:eastAsia="仿宋_GB2312"/>
          <w:b w:val="0"/>
          <w:bCs w:val="0"/>
          <w:color w:val="auto"/>
          <w:sz w:val="32"/>
          <w:szCs w:val="32"/>
          <w:highlight w:val="yellow"/>
        </w:rPr>
      </w:pPr>
      <w:r>
        <w:rPr>
          <w:rFonts w:hint="eastAsia" w:ascii="仿宋_GB2312" w:hAnsi="仿宋" w:eastAsia="仿宋_GB2312"/>
          <w:b/>
          <w:bCs/>
          <w:color w:val="auto"/>
          <w:sz w:val="32"/>
          <w:szCs w:val="32"/>
        </w:rPr>
        <w:t>第六条</w:t>
      </w:r>
      <w:r>
        <w:rPr>
          <w:rFonts w:hint="eastAsia" w:ascii="仿宋_GB2312" w:hAnsi="仿宋" w:eastAsia="仿宋_GB2312"/>
          <w:color w:val="auto"/>
          <w:sz w:val="32"/>
          <w:szCs w:val="32"/>
        </w:rPr>
        <w:t xml:space="preserve"> 在其他合伙人一致同意下，</w:t>
      </w:r>
      <w:r>
        <w:rPr>
          <w:rFonts w:hint="eastAsia" w:ascii="仿宋_GB2312" w:hAnsi="微软雅黑" w:eastAsia="仿宋_GB2312" w:cs="宋体"/>
          <w:color w:val="auto"/>
          <w:kern w:val="0"/>
          <w:sz w:val="32"/>
          <w:szCs w:val="32"/>
        </w:rPr>
        <w:t>天使投资子基金中市产业（创业）投资引导基金</w:t>
      </w:r>
      <w:r>
        <w:rPr>
          <w:rFonts w:hint="eastAsia" w:ascii="仿宋_GB2312" w:hAnsi="仿宋" w:eastAsia="仿宋_GB2312"/>
          <w:color w:val="auto"/>
          <w:sz w:val="32"/>
          <w:szCs w:val="32"/>
        </w:rPr>
        <w:t>可适时提前退出。</w:t>
      </w:r>
      <w:r>
        <w:rPr>
          <w:rFonts w:hint="eastAsia" w:ascii="仿宋_GB2312" w:hAnsi="微软雅黑" w:eastAsia="仿宋_GB2312" w:cs="宋体"/>
          <w:color w:val="auto"/>
          <w:kern w:val="0"/>
          <w:sz w:val="32"/>
          <w:szCs w:val="32"/>
        </w:rPr>
        <w:t>天使投资子基金</w:t>
      </w:r>
      <w:r>
        <w:rPr>
          <w:rFonts w:hint="eastAsia" w:ascii="仿宋_GB2312" w:hAnsi="仿宋" w:eastAsia="仿宋_GB2312"/>
          <w:color w:val="auto"/>
          <w:sz w:val="32"/>
          <w:szCs w:val="32"/>
        </w:rPr>
        <w:t>设立</w:t>
      </w:r>
      <w:r>
        <w:rPr>
          <w:rFonts w:hint="eastAsia" w:ascii="仿宋_GB2312" w:hAnsi="仿宋" w:eastAsia="仿宋_GB2312"/>
          <w:b w:val="0"/>
          <w:bCs w:val="0"/>
          <w:color w:val="auto"/>
          <w:sz w:val="32"/>
          <w:szCs w:val="32"/>
        </w:rPr>
        <w:t>4年内（含）转让的，其转让价格不低于引导基金原始投资额；4年以上5年以内（含），转让价格不低于引导基金原始投资额与基准收益之和，基准收益的年化收益率可比照转让时1年期同期存款基准利率（高于2%时，按2%计算）；超过5年的，按公开交易价格退出。</w:t>
      </w:r>
    </w:p>
    <w:p>
      <w:pPr>
        <w:spacing w:line="560" w:lineRule="exact"/>
        <w:ind w:firstLine="643" w:firstLineChars="200"/>
        <w:rPr>
          <w:rFonts w:eastAsia="仿宋_GB2312"/>
          <w:color w:val="auto"/>
          <w:sz w:val="32"/>
          <w:szCs w:val="32"/>
        </w:rPr>
      </w:pPr>
      <w:r>
        <w:rPr>
          <w:rFonts w:hint="eastAsia" w:ascii="仿宋_GB2312" w:eastAsia="仿宋_GB2312"/>
          <w:b/>
          <w:bCs/>
          <w:color w:val="auto"/>
          <w:sz w:val="32"/>
          <w:szCs w:val="32"/>
        </w:rPr>
        <w:t>第七条</w:t>
      </w:r>
      <w:r>
        <w:rPr>
          <w:rFonts w:hint="eastAsia" w:ascii="仿宋_GB2312" w:eastAsia="仿宋_GB2312"/>
          <w:color w:val="auto"/>
          <w:sz w:val="32"/>
          <w:szCs w:val="32"/>
        </w:rPr>
        <w:t xml:space="preserve"> </w:t>
      </w:r>
      <w:r>
        <w:rPr>
          <w:rFonts w:hint="eastAsia" w:ascii="仿宋_GB2312" w:hAnsi="微软雅黑" w:eastAsia="仿宋_GB2312" w:cs="宋体"/>
          <w:color w:val="auto"/>
          <w:kern w:val="0"/>
          <w:sz w:val="32"/>
          <w:szCs w:val="32"/>
        </w:rPr>
        <w:t>天使投资子基金</w:t>
      </w:r>
      <w:r>
        <w:rPr>
          <w:rFonts w:hint="eastAsia" w:eastAsia="仿宋_GB2312"/>
          <w:color w:val="auto"/>
          <w:sz w:val="32"/>
          <w:szCs w:val="32"/>
        </w:rPr>
        <w:t>投资期满后</w:t>
      </w:r>
      <w:r>
        <w:rPr>
          <w:rFonts w:hint="eastAsia" w:ascii="仿宋_GB2312" w:hAnsi="仿宋" w:eastAsia="仿宋_GB2312"/>
          <w:color w:val="auto"/>
          <w:sz w:val="32"/>
          <w:szCs w:val="32"/>
        </w:rPr>
        <w:t>，管理机构及其他出资人可以申请回购</w:t>
      </w:r>
      <w:r>
        <w:rPr>
          <w:rFonts w:hint="eastAsia" w:ascii="仿宋_GB2312" w:hAnsi="微软雅黑" w:eastAsia="仿宋_GB2312" w:cs="宋体"/>
          <w:color w:val="auto"/>
          <w:kern w:val="0"/>
          <w:sz w:val="32"/>
          <w:szCs w:val="32"/>
        </w:rPr>
        <w:t>市产业（创业）投资引导基金</w:t>
      </w:r>
      <w:r>
        <w:rPr>
          <w:rFonts w:hint="eastAsia" w:ascii="仿宋_GB2312" w:hAnsi="仿宋" w:eastAsia="仿宋_GB2312"/>
          <w:color w:val="auto"/>
          <w:sz w:val="32"/>
          <w:szCs w:val="32"/>
        </w:rPr>
        <w:t>持有的基金份额，</w:t>
      </w:r>
      <w:r>
        <w:rPr>
          <w:rFonts w:hint="eastAsia" w:eastAsia="仿宋_GB2312"/>
          <w:color w:val="auto"/>
          <w:sz w:val="32"/>
          <w:szCs w:val="32"/>
        </w:rPr>
        <w:t>同等条件下，天使基金的非财政出资人优先购买。</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 xml:space="preserve">第八条 </w:t>
      </w:r>
      <w:r>
        <w:rPr>
          <w:rFonts w:hint="eastAsia" w:ascii="仿宋_GB2312" w:hAnsi="仿宋" w:eastAsia="仿宋_GB2312"/>
          <w:color w:val="auto"/>
          <w:sz w:val="32"/>
          <w:szCs w:val="32"/>
        </w:rPr>
        <w:t>为更好地发挥政府资金的引导作用，鼓励</w:t>
      </w:r>
      <w:r>
        <w:rPr>
          <w:rFonts w:hint="eastAsia" w:ascii="仿宋_GB2312" w:hAnsi="微软雅黑" w:eastAsia="仿宋_GB2312" w:cs="宋体"/>
          <w:color w:val="auto"/>
          <w:kern w:val="0"/>
          <w:sz w:val="32"/>
          <w:szCs w:val="32"/>
        </w:rPr>
        <w:t>天使投资子基金</w:t>
      </w:r>
      <w:r>
        <w:rPr>
          <w:rFonts w:hint="eastAsia" w:ascii="仿宋_GB2312" w:hAnsi="仿宋" w:eastAsia="仿宋_GB2312"/>
          <w:color w:val="auto"/>
          <w:sz w:val="32"/>
          <w:szCs w:val="32"/>
        </w:rPr>
        <w:t>投资于在大连注册的天使类项目，</w:t>
      </w:r>
      <w:r>
        <w:rPr>
          <w:rFonts w:hint="eastAsia" w:ascii="仿宋_GB2312" w:hAnsi="微软雅黑" w:eastAsia="仿宋_GB2312" w:cs="宋体"/>
          <w:color w:val="auto"/>
          <w:kern w:val="0"/>
          <w:sz w:val="32"/>
          <w:szCs w:val="32"/>
        </w:rPr>
        <w:t>市产业（创业）投资引导基金</w:t>
      </w:r>
      <w:r>
        <w:rPr>
          <w:rFonts w:ascii="仿宋_GB2312" w:eastAsia="仿宋_GB2312" w:cs="黑体"/>
          <w:color w:val="auto"/>
          <w:sz w:val="32"/>
          <w:szCs w:val="32"/>
        </w:rPr>
        <w:t>在该</w:t>
      </w:r>
      <w:r>
        <w:rPr>
          <w:rFonts w:hint="eastAsia" w:ascii="仿宋_GB2312" w:hAnsi="微软雅黑" w:eastAsia="仿宋_GB2312" w:cs="宋体"/>
          <w:color w:val="auto"/>
          <w:kern w:val="0"/>
          <w:sz w:val="32"/>
          <w:szCs w:val="32"/>
        </w:rPr>
        <w:t>天使投资子基金</w:t>
      </w:r>
      <w:r>
        <w:rPr>
          <w:rFonts w:ascii="仿宋_GB2312" w:eastAsia="仿宋_GB2312" w:cs="黑体"/>
          <w:color w:val="auto"/>
          <w:sz w:val="32"/>
          <w:szCs w:val="32"/>
        </w:rPr>
        <w:t>获得的增值收益，可用于奖励</w:t>
      </w:r>
      <w:r>
        <w:rPr>
          <w:rFonts w:hint="eastAsia" w:ascii="仿宋_GB2312" w:hAnsi="微软雅黑" w:eastAsia="仿宋_GB2312" w:cs="宋体"/>
          <w:color w:val="auto"/>
          <w:kern w:val="0"/>
          <w:sz w:val="32"/>
          <w:szCs w:val="32"/>
        </w:rPr>
        <w:t>天使投资子基金</w:t>
      </w:r>
      <w:r>
        <w:rPr>
          <w:rFonts w:ascii="仿宋_GB2312" w:eastAsia="仿宋_GB2312" w:cs="黑体"/>
          <w:color w:val="auto"/>
          <w:sz w:val="32"/>
          <w:szCs w:val="32"/>
        </w:rPr>
        <w:t>管理机构。</w:t>
      </w:r>
      <w:r>
        <w:rPr>
          <w:rFonts w:hint="eastAsia" w:ascii="仿宋_GB2312" w:eastAsia="仿宋_GB2312"/>
          <w:color w:val="auto"/>
          <w:sz w:val="32"/>
          <w:szCs w:val="32"/>
        </w:rPr>
        <w:t>若</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投资于大连市资金达到</w:t>
      </w:r>
      <w:r>
        <w:rPr>
          <w:rFonts w:hint="eastAsia" w:ascii="仿宋_GB2312" w:eastAsia="仿宋_GB2312" w:cs="黑体"/>
          <w:color w:val="auto"/>
          <w:sz w:val="32"/>
          <w:szCs w:val="32"/>
        </w:rPr>
        <w:t>其认缴</w:t>
      </w:r>
      <w:r>
        <w:rPr>
          <w:rFonts w:ascii="仿宋_GB2312" w:eastAsia="仿宋_GB2312" w:cs="黑体"/>
          <w:color w:val="auto"/>
          <w:sz w:val="32"/>
          <w:szCs w:val="32"/>
        </w:rPr>
        <w:t>规模的</w:t>
      </w:r>
      <w:r>
        <w:rPr>
          <w:rFonts w:hint="eastAsia" w:ascii="仿宋_GB2312" w:eastAsia="仿宋_GB2312"/>
          <w:color w:val="auto"/>
          <w:sz w:val="32"/>
          <w:szCs w:val="32"/>
        </w:rPr>
        <w:t>70%，奖励额度为</w:t>
      </w:r>
      <w:r>
        <w:rPr>
          <w:rFonts w:hint="eastAsia" w:ascii="仿宋_GB2312" w:hAnsi="微软雅黑" w:eastAsia="仿宋_GB2312" w:cs="宋体"/>
          <w:color w:val="auto"/>
          <w:kern w:val="0"/>
          <w:sz w:val="32"/>
          <w:szCs w:val="32"/>
        </w:rPr>
        <w:t>产业（创业）投资引导基金</w:t>
      </w:r>
      <w:r>
        <w:rPr>
          <w:rFonts w:hint="eastAsia" w:ascii="仿宋_GB2312" w:eastAsia="仿宋_GB2312"/>
          <w:color w:val="auto"/>
          <w:sz w:val="32"/>
          <w:szCs w:val="32"/>
        </w:rPr>
        <w:t>在该</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所获增值收益的70%，最高不超过1500万元；达到80%，奖励额度为</w:t>
      </w:r>
      <w:r>
        <w:rPr>
          <w:rFonts w:hint="eastAsia" w:ascii="仿宋_GB2312" w:hAnsi="微软雅黑" w:eastAsia="仿宋_GB2312" w:cs="宋体"/>
          <w:color w:val="auto"/>
          <w:kern w:val="0"/>
          <w:sz w:val="32"/>
          <w:szCs w:val="32"/>
        </w:rPr>
        <w:t>产业（创业）投资引导基金</w:t>
      </w:r>
      <w:r>
        <w:rPr>
          <w:rFonts w:hint="eastAsia" w:ascii="仿宋_GB2312" w:eastAsia="仿宋_GB2312"/>
          <w:color w:val="auto"/>
          <w:sz w:val="32"/>
          <w:szCs w:val="32"/>
        </w:rPr>
        <w:t>在该</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所获增值收益的80%，最高不超过2000万元。</w:t>
      </w:r>
    </w:p>
    <w:p>
      <w:pPr>
        <w:snapToGrid w:val="0"/>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第九条</w:t>
      </w:r>
      <w:r>
        <w:rPr>
          <w:rFonts w:hint="eastAsia" w:ascii="仿宋_GB2312" w:eastAsia="仿宋_GB2312"/>
          <w:color w:val="auto"/>
          <w:sz w:val="32"/>
          <w:szCs w:val="32"/>
        </w:rPr>
        <w:t xml:space="preserve"> </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管理机构收取的管理费率每年最高不超过实缴金额的3%，由</w:t>
      </w:r>
      <w:r>
        <w:rPr>
          <w:rFonts w:hint="eastAsia" w:ascii="仿宋_GB2312" w:hAnsi="微软雅黑" w:eastAsia="仿宋_GB2312" w:cs="宋体"/>
          <w:color w:val="auto"/>
          <w:kern w:val="0"/>
          <w:sz w:val="32"/>
          <w:szCs w:val="32"/>
        </w:rPr>
        <w:t>天使投资子基金</w:t>
      </w:r>
      <w:r>
        <w:rPr>
          <w:rFonts w:hint="eastAsia" w:ascii="仿宋_GB2312" w:eastAsia="仿宋_GB2312"/>
          <w:color w:val="auto"/>
          <w:sz w:val="32"/>
          <w:szCs w:val="32"/>
        </w:rPr>
        <w:t>支付。</w:t>
      </w:r>
    </w:p>
    <w:p>
      <w:pPr>
        <w:snapToGrid w:val="0"/>
        <w:spacing w:line="560" w:lineRule="exact"/>
        <w:ind w:firstLine="643" w:firstLineChars="200"/>
        <w:rPr>
          <w:rFonts w:ascii="仿宋_GB2312" w:eastAsia="仿宋_GB2312"/>
          <w:b w:val="0"/>
          <w:bCs w:val="0"/>
          <w:color w:val="auto"/>
          <w:sz w:val="32"/>
          <w:szCs w:val="32"/>
        </w:rPr>
      </w:pPr>
      <w:r>
        <w:rPr>
          <w:rFonts w:hint="eastAsia" w:ascii="仿宋_GB2312" w:eastAsia="仿宋_GB2312"/>
          <w:b/>
          <w:bCs/>
          <w:color w:val="auto"/>
          <w:sz w:val="32"/>
          <w:szCs w:val="32"/>
        </w:rPr>
        <w:t xml:space="preserve">第十条 </w:t>
      </w:r>
      <w:r>
        <w:rPr>
          <w:rFonts w:hint="eastAsia" w:ascii="仿宋_GB2312" w:eastAsia="仿宋_GB2312"/>
          <w:b w:val="0"/>
          <w:bCs w:val="0"/>
          <w:color w:val="auto"/>
          <w:sz w:val="32"/>
          <w:szCs w:val="32"/>
        </w:rPr>
        <w:t>在引导基金、天使投资子基金运营管理中，</w:t>
      </w:r>
      <w:r>
        <w:rPr>
          <w:rFonts w:hint="eastAsia" w:ascii="仿宋_GB2312" w:hAnsi="仿宋_GB2312" w:eastAsia="仿宋_GB2312" w:cs="仿宋_GB2312"/>
          <w:b w:val="0"/>
          <w:bCs w:val="0"/>
          <w:color w:val="auto"/>
          <w:sz w:val="32"/>
          <w:szCs w:val="32"/>
        </w:rPr>
        <w:t>对于已履职尽责、</w:t>
      </w:r>
      <w:r>
        <w:rPr>
          <w:rFonts w:hint="eastAsia" w:ascii="仿宋_GB2312" w:hAnsi="仿宋" w:eastAsia="仿宋_GB2312"/>
          <w:b w:val="0"/>
          <w:bCs w:val="0"/>
          <w:color w:val="auto"/>
          <w:sz w:val="32"/>
          <w:szCs w:val="32"/>
        </w:rPr>
        <w:t>依法依规进行投资，严格遵循投资决策流程，由于政府政策调整、政府决策变化、政策界定不明确出现偏差失误、不可抗力发生、市场（经营）风险等造成</w:t>
      </w:r>
      <w:r>
        <w:rPr>
          <w:rFonts w:hint="eastAsia" w:ascii="仿宋_GB2312" w:eastAsia="仿宋_GB2312"/>
          <w:b w:val="0"/>
          <w:bCs w:val="0"/>
          <w:color w:val="auto"/>
          <w:sz w:val="32"/>
          <w:szCs w:val="32"/>
        </w:rPr>
        <w:t>未能实现预期目标、</w:t>
      </w:r>
      <w:r>
        <w:rPr>
          <w:rFonts w:hint="eastAsia" w:ascii="仿宋_GB2312" w:hAnsi="仿宋_GB2312" w:eastAsia="仿宋_GB2312" w:cs="仿宋_GB2312"/>
          <w:b w:val="0"/>
          <w:bCs w:val="0"/>
          <w:color w:val="auto"/>
          <w:sz w:val="32"/>
          <w:szCs w:val="32"/>
        </w:rPr>
        <w:t>投资损失、未实现资本运作目的的，决策机构、业务主管部门、出资代表、受托管理机构等可免于承担相关责任。</w:t>
      </w:r>
      <w:r>
        <w:rPr>
          <w:rFonts w:hint="eastAsia" w:ascii="仿宋_GB2312" w:eastAsia="仿宋_GB2312"/>
          <w:b w:val="0"/>
          <w:bCs w:val="0"/>
          <w:color w:val="auto"/>
          <w:sz w:val="32"/>
          <w:szCs w:val="32"/>
        </w:rPr>
        <w:t>对引导基金、天使投资子基金整体（非单个子基金或单个被投项目），按照整个生命周期予以评定。</w:t>
      </w:r>
    </w:p>
    <w:p>
      <w:pPr>
        <w:snapToGrid w:val="0"/>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第十一条 </w:t>
      </w:r>
      <w:r>
        <w:rPr>
          <w:rFonts w:hint="eastAsia" w:ascii="仿宋_GB2312" w:eastAsia="仿宋_GB2312"/>
          <w:color w:val="auto"/>
          <w:sz w:val="32"/>
          <w:szCs w:val="32"/>
        </w:rPr>
        <w:t> 本实施细则自发布之日起30日以后实施，由大连市科技局、</w:t>
      </w:r>
      <w:r>
        <w:rPr>
          <w:rFonts w:hint="eastAsia" w:ascii="仿宋_GB2312" w:eastAsia="仿宋_GB2312"/>
          <w:b w:val="0"/>
          <w:bCs w:val="0"/>
          <w:color w:val="auto"/>
          <w:sz w:val="32"/>
          <w:szCs w:val="32"/>
        </w:rPr>
        <w:t>市</w:t>
      </w:r>
      <w:r>
        <w:rPr>
          <w:rFonts w:hint="eastAsia" w:ascii="仿宋_GB2312" w:eastAsia="仿宋_GB2312"/>
          <w:color w:val="auto"/>
          <w:sz w:val="32"/>
          <w:szCs w:val="32"/>
        </w:rPr>
        <w:t>发展改革委负责解释。其他未尽事宜按照</w:t>
      </w:r>
      <w:r>
        <w:rPr>
          <w:rFonts w:hint="eastAsia" w:ascii="仿宋_GB2312" w:hAnsi="微软雅黑" w:eastAsia="仿宋_GB2312" w:cs="宋体"/>
          <w:color w:val="auto"/>
          <w:kern w:val="0"/>
          <w:sz w:val="32"/>
          <w:szCs w:val="32"/>
        </w:rPr>
        <w:t>《大连市产业（创业）投资引导基金管理办法》</w:t>
      </w:r>
      <w:r>
        <w:rPr>
          <w:rFonts w:hint="eastAsia" w:ascii="仿宋_GB2312" w:hAnsi="ˎ̥" w:eastAsia="仿宋_GB2312" w:cs="宋体"/>
          <w:color w:val="auto"/>
          <w:kern w:val="0"/>
          <w:sz w:val="32"/>
          <w:szCs w:val="32"/>
        </w:rPr>
        <w:t>和《大连市产业（创业）投资引导基金管理指引》执行。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w:t>
      </w:r>
    </w:p>
    <w:sectPr>
      <w:footerReference r:id="rId4" w:type="default"/>
      <w:footerReference r:id="rId5" w:type="even"/>
      <w:pgSz w:w="11906" w:h="16838"/>
      <w:pgMar w:top="158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- 2 -</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paragraph" w:styleId="2">
    <w:name w:val="annotation subject"/>
    <w:basedOn w:val="3"/>
    <w:next w:val="3"/>
    <w:link w:val="21"/>
    <w:semiHidden/>
    <w:unhideWhenUsed/>
    <w:qFormat/>
    <w:uiPriority w:val="99"/>
    <w:rPr>
      <w:b/>
      <w:bCs/>
    </w:rPr>
  </w:style>
  <w:style w:type="paragraph" w:styleId="3">
    <w:name w:val="annotation text"/>
    <w:basedOn w:val="1"/>
    <w:link w:val="20"/>
    <w:semiHidden/>
    <w:unhideWhenUsed/>
    <w:qFormat/>
    <w:uiPriority w:val="99"/>
    <w:pPr>
      <w:jc w:val="left"/>
    </w:pPr>
    <w:rPr>
      <w:kern w:val="0"/>
      <w:sz w:val="20"/>
      <w:szCs w:val="20"/>
    </w:rPr>
  </w:style>
  <w:style w:type="paragraph" w:styleId="4">
    <w:name w:val="Balloon Text"/>
    <w:basedOn w:val="1"/>
    <w:link w:val="19"/>
    <w:semiHidden/>
    <w:unhideWhenUsed/>
    <w:qFormat/>
    <w:uiPriority w:val="99"/>
    <w:rPr>
      <w:kern w:val="0"/>
      <w:sz w:val="18"/>
      <w:szCs w:val="18"/>
    </w:rPr>
  </w:style>
  <w:style w:type="paragraph" w:styleId="5">
    <w:name w:val="footer"/>
    <w:basedOn w:val="1"/>
    <w:link w:val="18"/>
    <w:unhideWhenUsed/>
    <w:qFormat/>
    <w:uiPriority w:val="99"/>
    <w:pPr>
      <w:tabs>
        <w:tab w:val="center" w:pos="4153"/>
        <w:tab w:val="right" w:pos="8306"/>
      </w:tabs>
      <w:snapToGrid w:val="0"/>
      <w:jc w:val="left"/>
    </w:pPr>
    <w:rPr>
      <w:kern w:val="0"/>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Title"/>
    <w:basedOn w:val="1"/>
    <w:next w:val="1"/>
    <w:link w:val="22"/>
    <w:qFormat/>
    <w:uiPriority w:val="10"/>
    <w:pPr>
      <w:spacing w:before="240" w:after="60"/>
      <w:jc w:val="center"/>
      <w:outlineLvl w:val="0"/>
    </w:pPr>
    <w:rPr>
      <w:rFonts w:ascii="Cambria" w:hAnsi="Cambria"/>
      <w:b/>
      <w:bCs/>
      <w:kern w:val="0"/>
      <w:sz w:val="32"/>
      <w:szCs w:val="32"/>
    </w:rPr>
  </w:style>
  <w:style w:type="character" w:styleId="10">
    <w:name w:val="Strong"/>
    <w:qFormat/>
    <w:uiPriority w:val="22"/>
    <w:rPr>
      <w:b/>
    </w:rPr>
  </w:style>
  <w:style w:type="character" w:styleId="11">
    <w:name w:val="Hyperlink"/>
    <w:unhideWhenUsed/>
    <w:qFormat/>
    <w:uiPriority w:val="99"/>
    <w:rPr>
      <w:color w:val="0000FF"/>
      <w:u w:val="single"/>
    </w:rPr>
  </w:style>
  <w:style w:type="character" w:styleId="12">
    <w:name w:val="annotation reference"/>
    <w:semiHidden/>
    <w:unhideWhenUsed/>
    <w:qFormat/>
    <w:uiPriority w:val="99"/>
    <w:rPr>
      <w:sz w:val="21"/>
      <w:szCs w:val="21"/>
    </w:r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彩色列表 - 着色 11"/>
    <w:basedOn w:val="1"/>
    <w:qFormat/>
    <w:uiPriority w:val="34"/>
    <w:pPr>
      <w:spacing w:line="440" w:lineRule="exact"/>
      <w:ind w:firstLine="420" w:firstLineChars="200"/>
    </w:pPr>
    <w:rPr>
      <w:rFonts w:ascii="Arial" w:hAnsi="Arial"/>
      <w:szCs w:val="24"/>
    </w:rPr>
  </w:style>
  <w:style w:type="paragraph" w:customStyle="1" w:styleId="15">
    <w:name w:val="列出段落1"/>
    <w:basedOn w:val="1"/>
    <w:qFormat/>
    <w:uiPriority w:val="34"/>
    <w:pPr>
      <w:ind w:firstLine="420" w:firstLineChars="200"/>
    </w:pPr>
  </w:style>
  <w:style w:type="paragraph" w:customStyle="1" w:styleId="16">
    <w:name w:val="修订1"/>
    <w:hidden/>
    <w:semiHidden/>
    <w:qFormat/>
    <w:uiPriority w:val="99"/>
    <w:rPr>
      <w:rFonts w:ascii="Calibri" w:hAnsi="Calibri" w:eastAsia="宋体" w:cs="Times New Roman"/>
      <w:kern w:val="2"/>
      <w:sz w:val="21"/>
      <w:szCs w:val="22"/>
      <w:lang w:val="en-US" w:eastAsia="zh-CN" w:bidi="ar-SA"/>
    </w:rPr>
  </w:style>
  <w:style w:type="character" w:customStyle="1" w:styleId="17">
    <w:name w:val="页眉 Char"/>
    <w:link w:val="6"/>
    <w:qFormat/>
    <w:uiPriority w:val="99"/>
    <w:rPr>
      <w:rFonts w:ascii="Calibri" w:hAnsi="Calibri" w:eastAsia="宋体" w:cs="Times New Roman"/>
      <w:sz w:val="18"/>
      <w:szCs w:val="18"/>
    </w:rPr>
  </w:style>
  <w:style w:type="character" w:customStyle="1" w:styleId="18">
    <w:name w:val="页脚 Char"/>
    <w:link w:val="5"/>
    <w:qFormat/>
    <w:uiPriority w:val="99"/>
    <w:rPr>
      <w:rFonts w:ascii="Calibri" w:hAnsi="Calibri" w:eastAsia="宋体" w:cs="Times New Roman"/>
      <w:sz w:val="18"/>
      <w:szCs w:val="18"/>
    </w:rPr>
  </w:style>
  <w:style w:type="character" w:customStyle="1" w:styleId="19">
    <w:name w:val="批注框文本 Char"/>
    <w:link w:val="4"/>
    <w:semiHidden/>
    <w:qFormat/>
    <w:uiPriority w:val="99"/>
    <w:rPr>
      <w:rFonts w:ascii="Calibri" w:hAnsi="Calibri" w:eastAsia="宋体" w:cs="Times New Roman"/>
      <w:sz w:val="18"/>
      <w:szCs w:val="18"/>
    </w:rPr>
  </w:style>
  <w:style w:type="character" w:customStyle="1" w:styleId="20">
    <w:name w:val="批注文字 Char"/>
    <w:link w:val="3"/>
    <w:semiHidden/>
    <w:qFormat/>
    <w:uiPriority w:val="99"/>
    <w:rPr>
      <w:rFonts w:ascii="Calibri" w:hAnsi="Calibri" w:eastAsia="宋体" w:cs="Times New Roman"/>
    </w:rPr>
  </w:style>
  <w:style w:type="character" w:customStyle="1" w:styleId="21">
    <w:name w:val="批注主题 Char"/>
    <w:link w:val="2"/>
    <w:semiHidden/>
    <w:qFormat/>
    <w:uiPriority w:val="99"/>
    <w:rPr>
      <w:rFonts w:ascii="Calibri" w:hAnsi="Calibri" w:eastAsia="宋体" w:cs="Times New Roman"/>
      <w:b/>
      <w:bCs/>
    </w:rPr>
  </w:style>
  <w:style w:type="character" w:customStyle="1" w:styleId="22">
    <w:name w:val="标题 Char"/>
    <w:link w:val="8"/>
    <w:qFormat/>
    <w:uiPriority w:val="10"/>
    <w:rPr>
      <w:rFonts w:ascii="Cambria" w:hAnsi="Cambria" w:eastAsia="宋体" w:cs="黑体"/>
      <w:b/>
      <w:bCs/>
      <w:sz w:val="32"/>
      <w:szCs w:val="32"/>
    </w:rPr>
  </w:style>
  <w:style w:type="character" w:customStyle="1" w:styleId="23">
    <w:name w:val="未处理的提及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296</Words>
  <Characters>1690</Characters>
  <Lines>14</Lines>
  <Paragraphs>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2021-03-07T14:02:00Z</dcterms:created>
  <dc:creator>任俊学</dc:creator>
  <cp:lastModifiedBy>user</cp:lastModifiedBy>
  <cp:lastPrinted>2021-04-27T09:22:00Z</cp:lastPrinted>
  <dcterms:modified xsi:type="dcterms:W3CDTF">2021-06-22T11:40:18Z</dcterms:modified>
  <dc:title>大连市科技创业天使投资基金管理补充办法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5C27BEDC88A84F029F4B89D74E27D73E</vt:lpwstr>
  </property>
</Properties>
</file>